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F" w:rsidRPr="00433EDC" w:rsidRDefault="005F64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жизнедеятельности»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DC390F" w:rsidRDefault="005F64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433EDC" w:rsidRPr="00433ED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2.3685-21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«Основ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EDC" w:rsidRPr="00433ED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3EDC" w:rsidRPr="00433ED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C390F" w:rsidRDefault="005F6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Default="005F6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Pr="00433EDC" w:rsidRDefault="005F6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Гололобов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Льняная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Маслов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Егорова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Default="005F6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Default="005F64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Шойгу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Default="005F64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ситуационных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Шойгу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C390F" w:rsidRPr="00433EDC" w:rsidRDefault="005F64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Гололобов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Льняная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Маслов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Егорова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8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Default="005F64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Хренников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Смирнова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8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Default="005F64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Шойгу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Default="005F64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ситуационных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Шойгу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C390F" w:rsidRPr="00433EDC" w:rsidRDefault="005F64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C390F" w:rsidRPr="00433EDC" w:rsidRDefault="005F64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освоенность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ебя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корректирова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рассужде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исключающий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нанесение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олноценной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экстремизм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терроризм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одуктов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пешехода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велосипедиста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дорожного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пассажира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транспортног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наземном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железнодорожном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воздушном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сигналу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комплектовать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минимально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вещей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наркотизма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взрыва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похищении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захвате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заложники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попытки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похищения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заложников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зникновения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оповещать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вызывать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экстренные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укрепляющие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разрушающие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распорядок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</w:t>
      </w:r>
      <w:r>
        <w:rPr>
          <w:rFonts w:hAnsi="Times New Roman" w:cs="Times New Roman"/>
          <w:color w:val="000000"/>
          <w:sz w:val="24"/>
          <w:szCs w:val="24"/>
        </w:rPr>
        <w:t>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неотложной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Default="005F647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велосипедиста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скопления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окупателя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наркотизма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экстремистскую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наркотическую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DC390F" w:rsidRPr="00433EDC" w:rsidRDefault="005F647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усваивать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Pr="00433EDC" w:rsidRDefault="005F64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государства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комплексной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окружающая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неблагоприятной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обстановкой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допустимые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атмосфере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почве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окружаю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щей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бытовыми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компьютерами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наземном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железнодорожном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возд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ушном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пешехода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пассажира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велосипедиста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велосипедиста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Водоемы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автономных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криминогенного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квартира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улица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подъезд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лифт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карманная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кража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мошенничество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самозащита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покупателя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Элементарные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кой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извержения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вулканов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оползни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обвалы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лавины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ураганы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бури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смерчи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сильный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дождь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ливень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крупный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град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гроза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сильный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снегопад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сильный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гололед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метели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снежные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заносы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половодье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сели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цунами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лесные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торфяные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степные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эпифитотии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рактера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радиационно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химически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взрывоопасных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гидротехнических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сигналу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здорового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образа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здорового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образа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привычки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навязчивые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игромания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алкоголя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наркотических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табака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курит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привычек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оказание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медицинской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наружном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кровотечении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ородного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верхних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дыхательных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ушибах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растяжениях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вывихах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переломах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отморожениях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переохлаждении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неинфекционные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инфекционные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травлениях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тепловом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солнечном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ударе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укусе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змей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сердечной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коме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390F" w:rsidRPr="00433EDC" w:rsidRDefault="005F64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ое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DC390F" w:rsidRPr="00433EDC" w:rsidRDefault="005F64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елевых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вещана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390F" w:rsidRPr="00433EDC" w:rsidRDefault="005F647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ценностног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433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"/>
        <w:gridCol w:w="5995"/>
        <w:gridCol w:w="2581"/>
      </w:tblGrid>
      <w:tr w:rsidR="00DC390F" w:rsidRPr="00433E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0F" w:rsidRDefault="005F647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0F" w:rsidRDefault="005F647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0F" w:rsidRPr="00433EDC" w:rsidRDefault="005F647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государства</w:t>
            </w:r>
          </w:p>
        </w:tc>
      </w:tr>
      <w:tr w:rsidR="00DC39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комплексной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DC39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дорогах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пешеходов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пассажиров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Велосипедист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водоемах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водоемах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терпящим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бедствие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Экология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неблагоприятной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Российской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Федерации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ситуаций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Чрезвычайные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(5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радиационно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взрывопожароопасных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гидротехнических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сооружениях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чре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звычайных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(4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пожаровзрывоопасных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гидродинамических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ситуаций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(3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здорового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здорового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Здоровый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составляющие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(8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Репродуктивное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неинфекционных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Default="005F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оказание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медицинской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помощи</w:t>
            </w:r>
          </w:p>
        </w:tc>
      </w:tr>
      <w:tr w:rsidR="00DC390F" w:rsidRPr="00433ED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Pr="00433EDC" w:rsidRDefault="005F6474">
            <w:pPr>
              <w:rPr>
                <w:lang w:val="ru-RU"/>
              </w:rPr>
            </w:pP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9.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Первая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неотложных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состояниях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 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433E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АХОВ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390F" w:rsidRPr="00433EDC" w:rsidRDefault="005F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травмах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33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9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90F" w:rsidRDefault="005F647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5F6474" w:rsidRDefault="005F6474"/>
    <w:sectPr w:rsidR="005F64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3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C3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50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4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B7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169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41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D4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3EDC"/>
    <w:rsid w:val="004F7E17"/>
    <w:rsid w:val="005A05CE"/>
    <w:rsid w:val="005F6474"/>
    <w:rsid w:val="00653AF6"/>
    <w:rsid w:val="00B73A5A"/>
    <w:rsid w:val="00DC390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481B-D2DB-47A8-8D14-88C0A10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3182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2021-12-29T23:52:00Z</dcterms:modified>
</cp:coreProperties>
</file>