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E0" w:rsidRDefault="0034658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истории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России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250BE0" w:rsidRDefault="0034658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древности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4A0A1F" w:rsidRPr="004A0A1F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End w:id="0"/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0BE0" w:rsidRPr="004A0A1F" w:rsidRDefault="003465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азовательным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50BE0" w:rsidRPr="004A0A1F" w:rsidRDefault="003465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-20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250BE0" w:rsidRPr="004A0A1F" w:rsidRDefault="003465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250BE0" w:rsidRPr="004A0A1F" w:rsidRDefault="003465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Минпр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23.10.2020;</w:t>
      </w:r>
    </w:p>
    <w:p w:rsidR="00250BE0" w:rsidRPr="004A0A1F" w:rsidRDefault="003465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250BE0" w:rsidRPr="004A0A1F" w:rsidRDefault="003465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«Реализуем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ИКС»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охватывает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50BE0" w:rsidRDefault="003465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«Сферы»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Данилова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BE0" w:rsidRPr="004A0A1F" w:rsidRDefault="0034658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Сахарова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дагога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0BE0" w:rsidRDefault="0034658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0BE0" w:rsidRPr="004A0A1F" w:rsidRDefault="003465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Арсентьев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Default="003465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«Сферы»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кл</w:t>
      </w:r>
      <w:r>
        <w:rPr>
          <w:rFonts w:hAnsi="Times New Roman" w:cs="Times New Roman"/>
          <w:color w:val="000000"/>
          <w:sz w:val="24"/>
          <w:szCs w:val="24"/>
        </w:rPr>
        <w:t>ассы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Данилов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BE0" w:rsidRPr="004A0A1F" w:rsidRDefault="003465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 5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Уколова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Ведюшкин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Уколова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50BE0" w:rsidRDefault="003465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древнейших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времен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Поурочные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Абдулаев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Артемов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Сахарова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250BE0" w:rsidRDefault="003465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Арсентьев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Стефанович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Торкунова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BE0" w:rsidRPr="004A0A1F" w:rsidRDefault="003465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древнейших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времен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Косулина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50BE0" w:rsidRPr="004A0A1F" w:rsidRDefault="003465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древнейших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времен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экзаменатор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Артасов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50BE0" w:rsidRPr="004A0A1F" w:rsidRDefault="003465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древнейших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времен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тренажер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Лукутин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Артасов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50BE0" w:rsidRDefault="003465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Иллюстрированный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атлас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Мерзликин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Старкова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Данилова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250BE0" w:rsidRPr="004A0A1F" w:rsidRDefault="003465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Контурные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составитель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Тороп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50BE0" w:rsidRPr="004A0A1F" w:rsidRDefault="003465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Сборник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Default="003465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еобразовательных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Артасов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250BE0" w:rsidRPr="004A0A1F" w:rsidRDefault="003465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древнейших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времен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Данилевский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Андреев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Юрасов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50BE0" w:rsidRPr="004A0A1F" w:rsidRDefault="0034658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Данилевского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Симонова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Клоков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BE0" w:rsidRDefault="0034658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0BE0" w:rsidRPr="004A0A1F" w:rsidRDefault="0034658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Арсентьев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Default="0034658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Арсентьев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Стефанович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Торкунова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BE0" w:rsidRPr="004A0A1F" w:rsidRDefault="0034658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древнейших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времен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Косулина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50BE0" w:rsidRPr="004A0A1F" w:rsidRDefault="0034658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древнейших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времен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экзаменатор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Артасов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50BE0" w:rsidRPr="004A0A1F" w:rsidRDefault="0034658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древн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ейших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времен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тренажер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Лукутин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Артасов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50BE0" w:rsidRDefault="0034658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Иллюстрированный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атлас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Мерзликин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Старкова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Данилова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250BE0" w:rsidRPr="004A0A1F" w:rsidRDefault="0034658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Контурные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ставитель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Тороп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50BE0" w:rsidRPr="004A0A1F" w:rsidRDefault="0034658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Сборник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Default="0034658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Артасов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250BE0" w:rsidRPr="004A0A1F" w:rsidRDefault="0034658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древнейших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времен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Дани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левский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Андреев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Юрасов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50BE0" w:rsidRPr="004A0A1F" w:rsidRDefault="0034658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Данилевского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Симонова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Клоков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, 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68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50BE0" w:rsidRPr="004A0A1F" w:rsidRDefault="003465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Личностные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сво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ответс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твенного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профе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ссий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ровоззрению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социаль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соц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иальных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собственны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фор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мирование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10)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еловека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11)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характе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самостоя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тельно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деятел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ьности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озможности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преобразовыв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смысловое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реше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10)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11)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мпетенции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мотивации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12)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професси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ональной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этнонациональной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самоидентификации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народами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базовыми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историческими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еловеческого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цивилизационного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осмысления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полиэтничном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этнонациональной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соц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иальной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самоидентификации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миропонимания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содержащуюся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источни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ках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прошлого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сложившихся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поликультур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полиэтничном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государстве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BE0" w:rsidRDefault="003465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0BE0" w:rsidRPr="004A0A1F" w:rsidRDefault="0034658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локализовать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становления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хронологию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рическую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центрах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Средние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крупнейших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передвижений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завоеваний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колонизаций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50BE0" w:rsidRPr="004A0A1F" w:rsidRDefault="0034658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ичных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средневековых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обществах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странах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материальной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значительных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средневековой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социал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политического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государствах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господствовавших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средневековых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обществах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воззрений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средневекового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Средневековья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показывать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«политическая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раздробленность»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«централизованное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государство»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250BE0" w:rsidRPr="004A0A1F" w:rsidRDefault="0034658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тории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BE0" w:rsidRDefault="003465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0BE0" w:rsidRPr="004A0A1F" w:rsidRDefault="0034658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сопоставительную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политического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Средневековья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Русь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Запад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Восток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50BE0" w:rsidRPr="004A0A1F" w:rsidRDefault="0034658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выявляя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BE0" w:rsidRPr="004A0A1F" w:rsidRDefault="0034658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составл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ять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средневековой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заключаются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BE0" w:rsidRPr="004A0A1F" w:rsidRDefault="003465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Наша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Родина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BE0" w:rsidRPr="004A0A1F" w:rsidRDefault="0034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Народы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государства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нашей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страны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древности</w:t>
      </w:r>
      <w:r w:rsidRPr="004A0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50BE0" w:rsidRDefault="00346581">
      <w:pPr>
        <w:rPr>
          <w:rFonts w:hAnsi="Times New Roman" w:cs="Times New Roman"/>
          <w:color w:val="000000"/>
          <w:sz w:val="24"/>
          <w:szCs w:val="24"/>
        </w:rPr>
      </w:pP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периодизации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Народы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древности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Заселение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Каменный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присваивающего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производящему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Северной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Евразии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Ареалы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древнейшего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земледелия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скотоводства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Появление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мета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ллических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орудий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первобытное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Центры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древнейшей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металлургии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Северной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Евразии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Кочевые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евразийских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степей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эпоху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бронзы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раннем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железном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веке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Степь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распространении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взаимовлияний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Народы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проживав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шие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середины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тысячелетия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Античные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Северного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Причерноморья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Боспорское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царство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Скифское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царство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Дербент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Восточная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Европа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Великое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переселение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Миграция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готов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Нашествие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гу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ннов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славянской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прародине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происхождении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славян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Расселение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славян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разделение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ветви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восточных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западных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южных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Славянские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Восточной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Европы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соседи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балты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финно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угры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Хозяйство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восточных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славян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общественный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строй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политическая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княжеской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верования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народы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Восточной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Европы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Сибири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Дальнего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>Востока</w:t>
      </w:r>
      <w:r w:rsidRPr="004A0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Тюркский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каганат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Хазарский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каганат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Волжская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Булгария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50BE0" w:rsidRDefault="003465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Русь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IX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половине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XII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века</w:t>
      </w:r>
    </w:p>
    <w:p w:rsidR="00250BE0" w:rsidRDefault="003465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</w:t>
      </w:r>
      <w:r>
        <w:rPr>
          <w:rFonts w:hAnsi="Times New Roman" w:cs="Times New Roman"/>
          <w:color w:val="000000"/>
          <w:sz w:val="24"/>
          <w:szCs w:val="24"/>
        </w:rPr>
        <w:t>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складывания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природно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климатический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</w:t>
      </w:r>
      <w:r>
        <w:rPr>
          <w:rFonts w:hAnsi="Times New Roman" w:cs="Times New Roman"/>
          <w:color w:val="000000"/>
          <w:sz w:val="24"/>
          <w:szCs w:val="24"/>
        </w:rPr>
        <w:t xml:space="preserve"> I </w:t>
      </w:r>
      <w:r>
        <w:rPr>
          <w:rFonts w:hAnsi="Times New Roman" w:cs="Times New Roman"/>
          <w:color w:val="000000"/>
          <w:sz w:val="24"/>
          <w:szCs w:val="24"/>
        </w:rPr>
        <w:t>тыс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континента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вропы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Проблема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Древнерусского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династии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Рюриковичей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полюдье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князья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Византийской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Западной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Северной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кочевниками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европейских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Русь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торговле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варяг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Волжский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торговый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христианства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Византийское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наследие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Русь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</w:t>
      </w:r>
      <w:r>
        <w:rPr>
          <w:rFonts w:hAnsi="Times New Roman" w:cs="Times New Roman"/>
          <w:color w:val="000000"/>
          <w:sz w:val="24"/>
          <w:szCs w:val="24"/>
        </w:rPr>
        <w:t xml:space="preserve"> X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начале</w:t>
      </w:r>
      <w:r>
        <w:rPr>
          <w:rFonts w:hAnsi="Times New Roman" w:cs="Times New Roman"/>
          <w:color w:val="000000"/>
          <w:sz w:val="24"/>
          <w:szCs w:val="24"/>
        </w:rPr>
        <w:t xml:space="preserve"> XII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Территория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Русь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Русская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Крупнейшие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Новгород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Севера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колонизация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равнины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Территориально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политическая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волости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князь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посадник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тысяцкий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вече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Внутриполитическое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сыновьями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Владимира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Святого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Ярослав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Мудрый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Русь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Ярославичах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Владимир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Мономах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Русская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церковь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Общественный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дискуссии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Князья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дружина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Духовенство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Городское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Купцы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Катег</w:t>
      </w:r>
      <w:r>
        <w:rPr>
          <w:rFonts w:hAnsi="Times New Roman" w:cs="Times New Roman"/>
          <w:color w:val="000000"/>
          <w:sz w:val="24"/>
          <w:szCs w:val="24"/>
        </w:rPr>
        <w:t>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рядового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Древнерусское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Русская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церковные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Русь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политическом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контексте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Евразии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Внешняя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международные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Византией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печенегами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половцами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Дешт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Кипчак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странами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</w:t>
      </w:r>
      <w:r>
        <w:rPr>
          <w:rFonts w:hAnsi="Times New Roman" w:cs="Times New Roman"/>
          <w:color w:val="000000"/>
          <w:sz w:val="24"/>
          <w:szCs w:val="24"/>
        </w:rPr>
        <w:t>тральной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Западной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Северной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Культурное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контексте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Евразии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Картина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средневекового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Повседневная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сельский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женщины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Календарь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хронология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Древнеру</w:t>
      </w:r>
      <w:r>
        <w:rPr>
          <w:rFonts w:hAnsi="Times New Roman" w:cs="Times New Roman"/>
          <w:color w:val="000000"/>
          <w:sz w:val="24"/>
          <w:szCs w:val="24"/>
        </w:rPr>
        <w:t>сская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Кирилло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мефодиевская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Письменность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берестяные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«Новгородская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псалтирь»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«Остромирово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Евангелие»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древнерусской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«Слов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Благодати»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Произведения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летописного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жанра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«Повесть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лет»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Произведения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Владимира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Мономаха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Иконопись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Архитектура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храмового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Десятинная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церковь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София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Киевская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София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Новг</w:t>
      </w:r>
      <w:r>
        <w:rPr>
          <w:rFonts w:hAnsi="Times New Roman" w:cs="Times New Roman"/>
          <w:color w:val="000000"/>
          <w:sz w:val="24"/>
          <w:szCs w:val="24"/>
        </w:rPr>
        <w:t>ородская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Материальная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Ремесло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оружие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50BE0" w:rsidRDefault="003465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Политическая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раздробленность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Руси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(XII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XIII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250BE0" w:rsidRDefault="003465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Важнейшие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управляемые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ветвями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княжеского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Рюриковичей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Черниговская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Смоленская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Галицкая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Волынская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Суздальская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имевшие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статус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Киевская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Новгородская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Эволюция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Внешняя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евразийском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контексте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летописание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</w:t>
      </w:r>
      <w:r>
        <w:rPr>
          <w:rFonts w:hAnsi="Times New Roman" w:cs="Times New Roman"/>
          <w:color w:val="000000"/>
          <w:sz w:val="24"/>
          <w:szCs w:val="24"/>
        </w:rPr>
        <w:t>мятники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Киево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Печерский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патерик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Даниила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Заточника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«Слово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Игореве»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Белокаменные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Северо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Восточной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Успенский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Владимире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церковь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Покрова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Нерли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Георгиевский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Юрьева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Польского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50BE0" w:rsidRDefault="003465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Ордынское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нашествие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Усиление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Москвы</w:t>
      </w:r>
    </w:p>
    <w:p w:rsidR="00250BE0" w:rsidRDefault="003465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Возникновение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Монгольской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Завоевания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Чингисхана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потомков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Батыя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Восточную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Возникновение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Золотой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Судьбы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монгольского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ордынских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ханов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называемое «ордынское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иго»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Южные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Возникновение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Литовского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земель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Северо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западные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Новгородская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Псковская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Политический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Новгорода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Пскова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вече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князя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Новгород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балтийских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Ордена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крестоносцев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экспансией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границах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Александр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Невский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Ордой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Княжества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Северо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Восточной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княжение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Владимирское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Противостояние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</w:t>
      </w:r>
      <w:r>
        <w:rPr>
          <w:rFonts w:hAnsi="Times New Roman" w:cs="Times New Roman"/>
          <w:color w:val="000000"/>
          <w:sz w:val="24"/>
          <w:szCs w:val="24"/>
        </w:rPr>
        <w:t>ери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Усиление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Московского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княжества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Дмитрий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Донской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Куликовская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первенствующего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московских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князей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Перенос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митрополичьей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кафедры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православной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церкви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ордынский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Сергий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Радонежск</w:t>
      </w:r>
      <w:r>
        <w:rPr>
          <w:rFonts w:hAnsi="Times New Roman" w:cs="Times New Roman"/>
          <w:color w:val="000000"/>
          <w:sz w:val="24"/>
          <w:szCs w:val="24"/>
        </w:rPr>
        <w:t>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Расцвет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раннемосковского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Соборы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Кремля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Сибири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XIII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XV </w:t>
      </w:r>
      <w:r>
        <w:rPr>
          <w:rFonts w:hAnsi="Times New Roman" w:cs="Times New Roman"/>
          <w:color w:val="000000"/>
          <w:sz w:val="24"/>
          <w:szCs w:val="24"/>
        </w:rPr>
        <w:t>веках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Золотая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Орда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население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экономика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кочевые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ислама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Ослабление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</w:t>
      </w:r>
      <w:r>
        <w:rPr>
          <w:rFonts w:hAnsi="Times New Roman" w:cs="Times New Roman"/>
          <w:color w:val="000000"/>
          <w:sz w:val="24"/>
          <w:szCs w:val="24"/>
        </w:rPr>
        <w:t>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половине</w:t>
      </w:r>
      <w:r>
        <w:rPr>
          <w:rFonts w:hAnsi="Times New Roman" w:cs="Times New Roman"/>
          <w:color w:val="000000"/>
          <w:sz w:val="24"/>
          <w:szCs w:val="24"/>
        </w:rPr>
        <w:t xml:space="preserve"> XIV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нашествие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Тимура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Распад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Золотой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татарских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ханств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Казанское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ханство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Сибирское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ханство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Астраханское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ханство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Ногайская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Крымское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ханство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Касимовское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ханство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Северного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Кавка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Итальянские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Причерноморья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Каффа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Солдайя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торговых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Востоком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Культурное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Евразии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монгольских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завоеваний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Культурное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цивилизаций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Межкультурные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Евразии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Летописание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Памятники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Куликовского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цикла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Жития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Епифаний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Премудрый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Архитектура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Изобразит</w:t>
      </w:r>
      <w:r>
        <w:rPr>
          <w:rFonts w:hAnsi="Times New Roman" w:cs="Times New Roman"/>
          <w:color w:val="000000"/>
          <w:sz w:val="24"/>
          <w:szCs w:val="24"/>
        </w:rPr>
        <w:t>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Феофан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Грек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Андрей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Рублев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50BE0" w:rsidRDefault="003465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единого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Русского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XV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веке</w:t>
      </w:r>
    </w:p>
    <w:p w:rsidR="00250BE0" w:rsidRDefault="003465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Литовским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Московским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Объединение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вокруг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Междоусобная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Московском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княжестве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четверти</w:t>
      </w:r>
      <w:r>
        <w:rPr>
          <w:rFonts w:hAnsi="Times New Roman" w:cs="Times New Roman"/>
          <w:color w:val="000000"/>
          <w:sz w:val="24"/>
          <w:szCs w:val="24"/>
        </w:rPr>
        <w:t xml:space="preserve"> XV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Василий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Темный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Новгород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XV </w:t>
      </w:r>
      <w:r>
        <w:rPr>
          <w:rFonts w:hAnsi="Times New Roman" w:cs="Times New Roman"/>
          <w:color w:val="000000"/>
          <w:sz w:val="24"/>
          <w:szCs w:val="24"/>
        </w:rPr>
        <w:t>веке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политический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Ливонским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орденом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Ганзой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Великим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княжеством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Литовским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Византии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церковно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политической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православном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«Москва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Иван</w:t>
      </w:r>
      <w:r>
        <w:rPr>
          <w:rFonts w:hAnsi="Times New Roman" w:cs="Times New Roman"/>
          <w:color w:val="000000"/>
          <w:sz w:val="24"/>
          <w:szCs w:val="24"/>
        </w:rPr>
        <w:t xml:space="preserve"> III. </w:t>
      </w:r>
      <w:r>
        <w:rPr>
          <w:rFonts w:hAnsi="Times New Roman" w:cs="Times New Roman"/>
          <w:color w:val="000000"/>
          <w:sz w:val="24"/>
          <w:szCs w:val="24"/>
        </w:rPr>
        <w:t>Присоединение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Новгорода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Твери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Ликвидация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Расширение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международных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Московского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Судебника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аппарата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князя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царский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титул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регалии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дворцовое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церковное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Московский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Кремль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Культурное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Сакрализация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великокняжеской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Флорентийская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автокефалии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церкви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Внутрицерковная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борьба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иосифляне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нестяжатели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ереси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Летописание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общерусское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региональное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Житийная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«Хожение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Афанасия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Никитина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Архитектура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Изобра</w:t>
      </w:r>
      <w:r>
        <w:rPr>
          <w:rFonts w:hAnsi="Times New Roman" w:cs="Times New Roman"/>
          <w:color w:val="000000"/>
          <w:sz w:val="24"/>
          <w:szCs w:val="24"/>
        </w:rPr>
        <w:t>зительное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Повседневная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горожан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древнерусский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раннемосковский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50BE0" w:rsidRDefault="003465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Повторение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50BE0" w:rsidRDefault="003465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Повторение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50BE0" w:rsidRDefault="0034658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250BE0" w:rsidRDefault="003465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Воспитательный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0BE0" w:rsidRDefault="003465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семье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счастья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BE0" w:rsidRDefault="003465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залогу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завтрашнем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BE0" w:rsidRDefault="003465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неудачи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завещана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оберегать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BE0" w:rsidRDefault="003465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нуждающейся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BE0" w:rsidRDefault="003465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общежития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условию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дружбы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налаживания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благоприятного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микроклимата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BE0" w:rsidRDefault="003465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интеллектуальному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кропотливого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увлекательного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BE0" w:rsidRDefault="003465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богатству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театр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самовыражение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BE0" w:rsidRDefault="003465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оптимистичного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BE0" w:rsidRDefault="003465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безусловной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абсолютной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равноправным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</w:t>
      </w:r>
      <w:r>
        <w:rPr>
          <w:rFonts w:hAnsi="Times New Roman" w:cs="Times New Roman"/>
          <w:color w:val="000000"/>
          <w:sz w:val="24"/>
          <w:szCs w:val="24"/>
        </w:rPr>
        <w:t>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взаимоподдерживающие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избегать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одиночества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BE0" w:rsidRDefault="0034658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хозяевам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судьбы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самоопределяющимся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самореализующимся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отвечающим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7"/>
        <w:gridCol w:w="6660"/>
        <w:gridCol w:w="1840"/>
      </w:tblGrid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250B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Народы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территории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нашей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древности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стоянки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IX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половине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XII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века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киевские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князья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князя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Владимира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Расцвет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Ярославе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Мудром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наследниках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Ярослава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Мудрого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Владимир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Повседневная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церковная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IX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Политическая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раздробленность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(XII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XIII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раздробления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Владимиро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Суздальское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княжество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Новгородская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княжества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раздробленность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(XII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XIII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Ордынское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нашествие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Усиление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Москвы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Монгольская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Северо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Востоком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княжества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Северо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вокруг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Борьба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Куликовская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XII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XIV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XV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веке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Московское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княжество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Золотой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Московское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православная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церковь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IV.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Опричнина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XIV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XVI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Архитектура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XIV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XVI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XVI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</w:tr>
      <w:tr w:rsidR="00250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древнейших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B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BE0" w:rsidRDefault="003465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</w:tbl>
    <w:p w:rsidR="00346581" w:rsidRDefault="00346581"/>
    <w:sectPr w:rsidR="0034658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58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92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B3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F622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86E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EE6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832B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D52B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50BE0"/>
    <w:rsid w:val="002D33B1"/>
    <w:rsid w:val="002D3591"/>
    <w:rsid w:val="00346581"/>
    <w:rsid w:val="003514A0"/>
    <w:rsid w:val="004A0A1F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C1BE0-9F60-4329-A863-8DF9A833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3903</Words>
  <Characters>22249</Characters>
  <Application>Microsoft Office Word</Application>
  <DocSecurity>0</DocSecurity>
  <Lines>185</Lines>
  <Paragraphs>52</Paragraphs>
  <ScaleCrop>false</ScaleCrop>
  <Company/>
  <LinksUpToDate>false</LinksUpToDate>
  <CharactersWithSpaces>26100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2021-12-29T23:35:00Z</dcterms:modified>
</cp:coreProperties>
</file>