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E8" w:rsidRDefault="00207F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5225E8" w:rsidRDefault="00207F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91769" w:rsidRPr="0059176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1897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23.10.2020;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1769" w:rsidRPr="0059176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1769" w:rsidRPr="0059176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 (6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10).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Токарева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Иллюстрированный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 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Амосова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Федоров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Амосова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Федоров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Кочегаров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Захаров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Пчелов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Пашки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учебникам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Пчелова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Лукина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Захарова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Соловьева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Шевырева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Сорокина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Арсентьева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Данилова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Романов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Pr="00591769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Воробьева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Токарева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Иллюстрированный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 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5225E8" w:rsidRPr="00591769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Амосова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Федоров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25E8" w:rsidRPr="00591769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Андреев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Ляшенко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Амосова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Федоров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Кочегаров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Захаров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Пчелов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Pr="00591769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Романов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бочая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«Вертикаль»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Pr="00591769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Воробьева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 8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,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25E8" w:rsidRPr="00591769" w:rsidRDefault="00207F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многонацио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нному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готовно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самоуправлени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авственных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гоконфессиональном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оженных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следс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твенные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аргументир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судьбах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населяющих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сущ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ествования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всемирно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изучаемый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«централизованное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государство»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«всероссийский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рынок»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памятниках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фрагментах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летописей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ошлого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понятийного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персоналий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225E8" w:rsidRPr="00591769" w:rsidRDefault="00207FD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господствовавших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воззрений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нностях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225E8" w:rsidRPr="00591769" w:rsidRDefault="00207FD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25E8" w:rsidRPr="00591769" w:rsidRDefault="00207F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циально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225E8" w:rsidRPr="00591769" w:rsidRDefault="00207FD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авнивать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25E8" w:rsidRPr="00591769" w:rsidRDefault="00207FD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империя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эпоху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преобразований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Петра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едпосылки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петровских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императора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современниками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Сената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коллегий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единонаследии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рангах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Мануфактуры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петровскую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горожане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крестьян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Церковная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Упразднение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патриаршества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Старообрядцы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конфессии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Оппозиция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реформам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Булавина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старообрядцев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мануфа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ктур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«Дело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царевича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Алексея»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Дворянский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крестьянском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городском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«миру»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Новшества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Азовские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Великое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посольство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Северная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1700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1721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Нарвой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Полтавская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«виктория»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Прутский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поход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флота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Ништадтский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петровских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преобразован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петровских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европейская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наследниках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Петра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эпоха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дворцовых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переворотов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дворцовых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переворотов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Екатерина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Верх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овный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тайный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Иоанновны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(1730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1740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Антонович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Елизаветы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Петровны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(1741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1761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Петр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дворцовых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переворотов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1725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1762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страной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дворянства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1725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1762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сообществе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держав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Семилетняя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рубежах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1725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1762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Прибалтика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Украина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восточных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окраинах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Башкирские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Екатерины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Екатерины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«Просвещенный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абсолютизм»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Екатерины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Екатерине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торговли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«Золотой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век»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дворянства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Городские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жители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крестьяне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предводительством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Пугачева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Пугачев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Расправа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восставшими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Национальная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Екатерины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Унификация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окраинах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укра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гетманства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кубанского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казачества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иностранцев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Религиозная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25E8" w:rsidRPr="00591769" w:rsidRDefault="00207F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Внешняя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Екатерины</w:t>
      </w:r>
      <w:r w:rsidRPr="005917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9176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турецкая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1768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1774</w:t>
      </w:r>
      <w:r>
        <w:rPr>
          <w:rFonts w:hAnsi="Times New Roman" w:cs="Times New Roman"/>
          <w:color w:val="000000"/>
          <w:sz w:val="24"/>
          <w:szCs w:val="24"/>
        </w:rPr>
        <w:t> 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грузинские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Георгиевский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трактат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турецкая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1787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1791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Греческий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Екатерины</w:t>
      </w:r>
      <w:r>
        <w:rPr>
          <w:rFonts w:hAnsi="Times New Roman" w:cs="Times New Roman"/>
          <w:color w:val="000000"/>
          <w:sz w:val="24"/>
          <w:szCs w:val="24"/>
        </w:rPr>
        <w:t xml:space="preserve"> II.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Швецией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«вооруженного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нейтралитета»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Екатерины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революционной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ранцией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Екатерины</w:t>
      </w:r>
      <w:r>
        <w:rPr>
          <w:rFonts w:hAnsi="Times New Roman" w:cs="Times New Roman"/>
          <w:color w:val="000000"/>
          <w:sz w:val="24"/>
          <w:szCs w:val="24"/>
        </w:rPr>
        <w:t xml:space="preserve"> II.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Крыма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Переселенческая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Севастополя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Поездка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Екатерины</w:t>
      </w:r>
      <w:r>
        <w:rPr>
          <w:rFonts w:hAnsi="Times New Roman" w:cs="Times New Roman"/>
          <w:color w:val="000000"/>
          <w:sz w:val="24"/>
          <w:szCs w:val="24"/>
        </w:rPr>
        <w:t xml:space="preserve"> II</w:t>
      </w:r>
      <w:r>
        <w:rPr>
          <w:rFonts w:hAnsi="Times New Roman" w:cs="Times New Roman"/>
          <w:color w:val="000000"/>
          <w:sz w:val="24"/>
          <w:szCs w:val="24"/>
        </w:rPr>
        <w:t> по Новороссии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Крыму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конце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XVIII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Павле</w:t>
      </w:r>
      <w:r>
        <w:rPr>
          <w:rFonts w:hAnsi="Times New Roman" w:cs="Times New Roman"/>
          <w:color w:val="000000"/>
          <w:sz w:val="24"/>
          <w:szCs w:val="24"/>
        </w:rPr>
        <w:t xml:space="preserve"> I.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Павла</w:t>
      </w:r>
      <w:r>
        <w:rPr>
          <w:rFonts w:hAnsi="Times New Roman" w:cs="Times New Roman"/>
          <w:color w:val="000000"/>
          <w:sz w:val="24"/>
          <w:szCs w:val="24"/>
        </w:rPr>
        <w:t xml:space="preserve"> I.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престолонаследия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армии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бюрократизма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Полицейский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Крестьянский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Разжалованная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дворянству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Павла</w:t>
      </w:r>
      <w:r>
        <w:rPr>
          <w:rFonts w:hAnsi="Times New Roman" w:cs="Times New Roman"/>
          <w:color w:val="000000"/>
          <w:sz w:val="24"/>
          <w:szCs w:val="24"/>
        </w:rPr>
        <w:t xml:space="preserve"> I. </w:t>
      </w:r>
      <w:r>
        <w:rPr>
          <w:rFonts w:hAnsi="Times New Roman" w:cs="Times New Roman"/>
          <w:color w:val="000000"/>
          <w:sz w:val="24"/>
          <w:szCs w:val="24"/>
        </w:rPr>
        <w:t>Покровительство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Мальтийскому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ордену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Союз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Наполеоном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Заговор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 1801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Раздел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веке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публицистика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пресса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XVIII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 XVIII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Живопись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скульптура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Музыкальное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театральное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5E8" w:rsidRDefault="00207F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5225E8" w:rsidRDefault="00207F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</w:t>
      </w:r>
      <w:r>
        <w:rPr>
          <w:rFonts w:hAnsi="Times New Roman" w:cs="Times New Roman"/>
          <w:color w:val="000000"/>
          <w:sz w:val="24"/>
          <w:szCs w:val="24"/>
        </w:rPr>
        <w:t>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свое</w:t>
      </w:r>
      <w:r>
        <w:rPr>
          <w:rFonts w:hAnsi="Times New Roman" w:cs="Times New Roman"/>
          <w:color w:val="000000"/>
          <w:sz w:val="24"/>
          <w:szCs w:val="24"/>
        </w:rPr>
        <w:t>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е 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</w:t>
      </w:r>
      <w:r>
        <w:rPr>
          <w:rFonts w:hAnsi="Times New Roman" w:cs="Times New Roman"/>
          <w:color w:val="000000"/>
          <w:sz w:val="24"/>
          <w:szCs w:val="24"/>
        </w:rPr>
        <w:t>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25E8" w:rsidRDefault="00207FD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</w:t>
      </w:r>
      <w:r>
        <w:rPr>
          <w:rFonts w:hAnsi="Times New Roman" w:cs="Times New Roman"/>
          <w:color w:val="000000"/>
          <w:sz w:val="24"/>
          <w:szCs w:val="24"/>
        </w:rPr>
        <w:t>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5183"/>
        <w:gridCol w:w="3339"/>
      </w:tblGrid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5E8" w:rsidRDefault="00207F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5E8" w:rsidRDefault="00207F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5E8" w:rsidRDefault="00207FD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рубеже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эпоху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преобразований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Петра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Европа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Балтийский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Предпосылки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Азовские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Ништадтский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эпоху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Стрелецкие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эпоху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наследниках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эпоха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дворцовых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переворотов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Иоанновны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(1730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Елизаветы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(1741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экономика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религиозная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1762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«Эпоха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дворцовых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переворотов»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абсолютизм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Уложенная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вольностей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дворянству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Закрепощение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Пугачева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религиозная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Крыма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конце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XVIII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дворянством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пространство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веке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архитектура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первопроходцы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25E8" w:rsidRDefault="00207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XVIII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25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E8" w:rsidRDefault="00207FD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207FD3" w:rsidRDefault="00207FD3"/>
    <w:sectPr w:rsidR="00207F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F5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41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D6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41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11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15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3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65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7FD3"/>
    <w:rsid w:val="002D33B1"/>
    <w:rsid w:val="002D3591"/>
    <w:rsid w:val="003514A0"/>
    <w:rsid w:val="004F7E17"/>
    <w:rsid w:val="005225E8"/>
    <w:rsid w:val="00591769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36E2-5DB8-47D4-8CFF-05B7720A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3450</Words>
  <Characters>19671</Characters>
  <Application>Microsoft Office Word</Application>
  <DocSecurity>0</DocSecurity>
  <Lines>163</Lines>
  <Paragraphs>46</Paragraphs>
  <ScaleCrop>false</ScaleCrop>
  <Company/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2021-12-30T00:10:00Z</dcterms:modified>
</cp:coreProperties>
</file>