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74" w:rsidRPr="005E4BB1" w:rsidRDefault="00D41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7B5274" w:rsidRPr="005E4BB1" w:rsidRDefault="00D41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4BB1" w:rsidRPr="005E4BB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413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E4BB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4BB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5E4BB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B5274" w:rsidRPr="005E4BB1" w:rsidRDefault="00D4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(10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11)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Смирнова</w:t>
      </w:r>
      <w:r>
        <w:rPr>
          <w:rFonts w:hAnsi="Times New Roman" w:cs="Times New Roman"/>
          <w:color w:val="000000"/>
          <w:sz w:val="24"/>
          <w:szCs w:val="24"/>
        </w:rPr>
        <w:t>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Вангородский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Ульянова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>.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Ульянова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Вангородский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Марков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Бурдакова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B5274" w:rsidRDefault="00D41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Марков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B5274" w:rsidRDefault="00D41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Бурдакова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Латчук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ссе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), 138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льтаты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самовоспитанию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потр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ебность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психологическо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B5274" w:rsidRDefault="00D41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Pr="005E4BB1" w:rsidRDefault="00D41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274" w:rsidRPr="005E4BB1" w:rsidRDefault="00D41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идентичн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гражданскому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манистические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конструктивному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самоупра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приверженность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интернационализма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отивостоять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ьми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трудничать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сопереживанию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ицам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сознательному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274" w:rsidRPr="005E4BB1" w:rsidRDefault="00D412E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сверстн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пределять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соображениях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оптимизируя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вательные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модельно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схематические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разумно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критическим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замечаниям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ыходить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целенаправленный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раничения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соображений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симпатий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енератор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критик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выступающий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7B5274" w:rsidRPr="005E4BB1" w:rsidRDefault="00D412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конфликтогенные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фазы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базов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дви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экипировки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двухколесным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тным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знаках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пешехода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пассажи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пешеходов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неблагоприятные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экориска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поражающего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скрытые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увлечениях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противоречащих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противоправные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асоциальное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молодежных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молодежны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молодежными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знаках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сигнальной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разметкой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асоциальное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рекоменд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яющие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торинг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оповещение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спасательные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поражающие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дозиметрического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знаках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пасных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мирного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отизма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предназначение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сполнительной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сайтами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наркотизму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симптомы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ФСБ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Минюста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пагубно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репродуктивного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отрицательно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репродуктивное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укрепле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репродуктивного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5274" w:rsidRPr="005E4BB1" w:rsidRDefault="00D41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5274" w:rsidRPr="005E4BB1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Pr="005E4BB1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помо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щи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4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определят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ее оказанию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неотложных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транспортировку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промышленного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знаках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пострадавшему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«инфекционные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особо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предупрежд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 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бактериологического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очага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стратегические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</w:t>
      </w:r>
      <w:r>
        <w:rPr>
          <w:rFonts w:hAnsi="Times New Roman" w:cs="Times New Roman"/>
          <w:color w:val="000000"/>
          <w:sz w:val="24"/>
          <w:szCs w:val="24"/>
        </w:rPr>
        <w:t>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обороны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</w:t>
      </w:r>
      <w:r>
        <w:rPr>
          <w:rFonts w:hAnsi="Times New Roman" w:cs="Times New Roman"/>
          <w:color w:val="000000"/>
          <w:sz w:val="24"/>
          <w:szCs w:val="24"/>
        </w:rPr>
        <w:t>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мирное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</w:t>
      </w:r>
      <w:r>
        <w:rPr>
          <w:rFonts w:hAnsi="Times New Roman" w:cs="Times New Roman"/>
          <w:color w:val="000000"/>
          <w:sz w:val="24"/>
          <w:szCs w:val="24"/>
        </w:rPr>
        <w:t>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ритуалов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призыва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призыва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запасе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</w:t>
      </w:r>
      <w:r>
        <w:rPr>
          <w:rFonts w:hAnsi="Times New Roman" w:cs="Times New Roman"/>
          <w:color w:val="000000"/>
          <w:sz w:val="24"/>
          <w:szCs w:val="24"/>
        </w:rPr>
        <w:t>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 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добровольную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Общевоинских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Общевоинские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прохождению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призыву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контракту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призыву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контракту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альтернативной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лише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запасе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</w:t>
      </w:r>
      <w:r>
        <w:rPr>
          <w:rFonts w:hAnsi="Times New Roman" w:cs="Times New Roman"/>
          <w:color w:val="000000"/>
          <w:sz w:val="24"/>
          <w:szCs w:val="24"/>
        </w:rPr>
        <w:t>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мобилизационного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резерва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резерве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движении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строя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начальнику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движении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команд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сборку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смазки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снаряжать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магазин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автоматом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патронами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повседнев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убойного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отда</w:t>
      </w:r>
      <w:r>
        <w:rPr>
          <w:rFonts w:hAnsi="Times New Roman" w:cs="Times New Roman"/>
          <w:color w:val="000000"/>
          <w:sz w:val="24"/>
          <w:szCs w:val="24"/>
        </w:rPr>
        <w:t>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прицел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прицеливания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неподвижным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прицеливания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стрельбе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оборонительные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осколочных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гранатами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общевойскового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общевойсковой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 бою»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«Встать»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перебежки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переползания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перебежки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переползания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пластунски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получетвереньках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боку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компасу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солнцу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часам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Полярной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признакам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азимутам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</w:t>
      </w:r>
      <w:r>
        <w:rPr>
          <w:rFonts w:hAnsi="Times New Roman" w:cs="Times New Roman"/>
          <w:color w:val="000000"/>
          <w:sz w:val="24"/>
          <w:szCs w:val="24"/>
        </w:rPr>
        <w:t>ойство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комплектность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респиратора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общевойскового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ОЗК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легкого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-1);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сигналам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тактико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ТТХ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выносу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>поля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раскрывать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высшие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</w:t>
      </w:r>
      <w:r>
        <w:rPr>
          <w:rFonts w:hAnsi="Times New Roman" w:cs="Times New Roman"/>
          <w:color w:val="000000"/>
          <w:sz w:val="24"/>
          <w:szCs w:val="24"/>
        </w:rPr>
        <w:t>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и 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влияет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</w:t>
      </w:r>
      <w:r>
        <w:rPr>
          <w:rFonts w:hAnsi="Times New Roman" w:cs="Times New Roman"/>
          <w:color w:val="000000"/>
          <w:sz w:val="24"/>
          <w:szCs w:val="24"/>
        </w:rPr>
        <w:t>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строительства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модернизации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войнах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конфликтах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прослеживать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эволюцию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флажков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фонаря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смазку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</w:t>
      </w:r>
      <w:r>
        <w:rPr>
          <w:rFonts w:hAnsi="Times New Roman" w:cs="Times New Roman"/>
          <w:color w:val="000000"/>
          <w:sz w:val="24"/>
          <w:szCs w:val="24"/>
        </w:rPr>
        <w:t>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магазина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респиратора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общевойскового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ОЗК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возможностью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пост</w:t>
      </w:r>
      <w:r>
        <w:rPr>
          <w:rFonts w:hAnsi="Times New Roman" w:cs="Times New Roman"/>
          <w:color w:val="000000"/>
          <w:sz w:val="24"/>
          <w:szCs w:val="24"/>
        </w:rPr>
        <w:t>уплению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высшие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и 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высшие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и 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комплексной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национальную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благополучие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природопользование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Неблагоприятные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экориска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такси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маршрутном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такси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железнодорожном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воздушном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сигнальной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разметки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асоциальное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пешеходов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пассажиров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мопедов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мот</w:t>
      </w:r>
      <w:r>
        <w:rPr>
          <w:rFonts w:hAnsi="Times New Roman" w:cs="Times New Roman"/>
          <w:color w:val="000000"/>
          <w:sz w:val="24"/>
          <w:szCs w:val="24"/>
        </w:rPr>
        <w:t>оциклов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легкового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автомобиля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хобби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Защита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населения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ситуаций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Потенциальные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природного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техногенного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</w:t>
      </w:r>
      <w:r>
        <w:rPr>
          <w:rFonts w:hAnsi="Times New Roman" w:cs="Times New Roman"/>
          <w:color w:val="000000"/>
          <w:sz w:val="24"/>
          <w:szCs w:val="24"/>
        </w:rPr>
        <w:t>ычайные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техногенного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чрез</w:t>
      </w:r>
      <w:r>
        <w:rPr>
          <w:rFonts w:hAnsi="Times New Roman" w:cs="Times New Roman"/>
          <w:color w:val="000000"/>
          <w:sz w:val="24"/>
          <w:szCs w:val="24"/>
        </w:rPr>
        <w:t>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сигнальной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</w:t>
      </w:r>
      <w:r>
        <w:rPr>
          <w:rFonts w:hAnsi="Times New Roman" w:cs="Times New Roman"/>
          <w:color w:val="000000"/>
          <w:sz w:val="24"/>
          <w:szCs w:val="24"/>
        </w:rPr>
        <w:t>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дозиметрического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наркотизму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России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наркотизма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наркотизму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наркотизму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наркотизму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терроризму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наркотизму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экстремистскую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террористическую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употреблению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</w:t>
      </w:r>
      <w:r>
        <w:rPr>
          <w:rFonts w:hAnsi="Times New Roman" w:cs="Times New Roman"/>
          <w:color w:val="000000"/>
          <w:sz w:val="24"/>
          <w:szCs w:val="24"/>
        </w:rPr>
        <w:t>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угрозе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жизни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привычки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разрушающие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Репродуктивное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оказание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помощи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мощи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неотложных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транспортировки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</w:t>
      </w:r>
      <w:r>
        <w:rPr>
          <w:rFonts w:hAnsi="Times New Roman" w:cs="Times New Roman"/>
          <w:color w:val="000000"/>
          <w:sz w:val="24"/>
          <w:szCs w:val="24"/>
        </w:rPr>
        <w:t>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эпидемии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</w:t>
      </w:r>
      <w:r>
        <w:rPr>
          <w:rFonts w:hAnsi="Times New Roman" w:cs="Times New Roman"/>
          <w:color w:val="000000"/>
          <w:sz w:val="24"/>
          <w:szCs w:val="24"/>
        </w:rPr>
        <w:t>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обороны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государства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тенденции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стратегические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угроз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</w:t>
      </w:r>
      <w:r>
        <w:rPr>
          <w:rFonts w:hAnsi="Times New Roman" w:cs="Times New Roman"/>
          <w:color w:val="000000"/>
          <w:sz w:val="24"/>
          <w:szCs w:val="24"/>
        </w:rPr>
        <w:t>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приоритеты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</w:t>
      </w:r>
      <w:r>
        <w:rPr>
          <w:rFonts w:hAnsi="Times New Roman" w:cs="Times New Roman"/>
          <w:color w:val="000000"/>
          <w:sz w:val="24"/>
          <w:szCs w:val="24"/>
        </w:rPr>
        <w:t>тва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Вооруженные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предназначение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ритуалы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строительства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ресурсное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службы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контракту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Альтернативная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призыву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контракту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альтернативную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Увольнение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Мобилизационный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резерв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Элементы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оружия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движен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строя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возвращение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начальнику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него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Неполная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сборка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</w:t>
      </w:r>
      <w:r>
        <w:rPr>
          <w:rFonts w:hAnsi="Times New Roman" w:cs="Times New Roman"/>
          <w:color w:val="000000"/>
          <w:sz w:val="24"/>
          <w:szCs w:val="24"/>
        </w:rPr>
        <w:t>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смазки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патрона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автоматом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патронами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стрельбы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автомата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Калашникова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осколочные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ручными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осколочными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гранатами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общевойсковой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Инженерное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топографии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комплектность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противогаза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респиратора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общевойскового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ОЗК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легкого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 xml:space="preserve">-1)).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сигна</w:t>
      </w:r>
      <w:r>
        <w:rPr>
          <w:rFonts w:hAnsi="Times New Roman" w:cs="Times New Roman"/>
          <w:color w:val="000000"/>
          <w:sz w:val="24"/>
          <w:szCs w:val="24"/>
        </w:rPr>
        <w:t>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Профессиона</w:t>
      </w:r>
      <w:r>
        <w:rPr>
          <w:rFonts w:hAnsi="Times New Roman" w:cs="Times New Roman"/>
          <w:color w:val="000000"/>
          <w:sz w:val="24"/>
          <w:szCs w:val="24"/>
        </w:rPr>
        <w:t>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призыву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карьеры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офицерских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и 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кафедрах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высшие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Вооруженных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 и 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МВД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ФСБ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МЧС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>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Внесены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юношеского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вязано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потребностью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пороге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5274" w:rsidRDefault="00D412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улице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5274" w:rsidRDefault="00D412E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самопознания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приемлемого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самореализации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ОБЖ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"/>
        <w:gridCol w:w="6061"/>
        <w:gridCol w:w="2520"/>
      </w:tblGrid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комплексной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повседневной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чрезвычайных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техногенного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чрезвычайных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техногенного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экстремизму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России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терроризмом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экстремистской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обороноспособности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караульной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7B5274" w:rsidRDefault="00D41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ОБЖ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5426"/>
        <w:gridCol w:w="3112"/>
      </w:tblGrid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274" w:rsidRDefault="00D41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комплексной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повседневной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экстремизму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России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оказание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помощи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неотложных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52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Военнослужащий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Ритуалы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Вооруженных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призыву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контракту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527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274" w:rsidRDefault="00D41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D412E0" w:rsidRDefault="00D412E0"/>
    <w:sectPr w:rsidR="00D412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90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C7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26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53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7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64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C6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90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2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D7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87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44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02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D6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F1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C3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D7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07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60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46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53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56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77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56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E2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0"/>
  </w:num>
  <w:num w:numId="5">
    <w:abstractNumId w:val="23"/>
  </w:num>
  <w:num w:numId="6">
    <w:abstractNumId w:val="1"/>
  </w:num>
  <w:num w:numId="7">
    <w:abstractNumId w:val="20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4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4BB1"/>
    <w:rsid w:val="00653AF6"/>
    <w:rsid w:val="007B5274"/>
    <w:rsid w:val="00B73A5A"/>
    <w:rsid w:val="00D412E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6CAB-B642-46C4-84B7-57CC952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6076</Words>
  <Characters>34636</Characters>
  <Application>Microsoft Office Word</Application>
  <DocSecurity>0</DocSecurity>
  <Lines>288</Lines>
  <Paragraphs>81</Paragraphs>
  <ScaleCrop>false</ScaleCrop>
  <Company/>
  <LinksUpToDate>false</LinksUpToDate>
  <CharactersWithSpaces>40631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2021-12-30T00:06:00Z</dcterms:modified>
</cp:coreProperties>
</file>